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F1" w:rsidRDefault="008253F1" w:rsidP="001C2DCE">
      <w:pPr>
        <w:jc w:val="center"/>
        <w:rPr>
          <w:rFonts w:ascii="Century Gothic" w:hAnsi="Century Gothic" w:cs="Arial"/>
          <w:b/>
          <w:sz w:val="20"/>
          <w:szCs w:val="20"/>
          <w:u w:val="single"/>
        </w:rPr>
      </w:pPr>
    </w:p>
    <w:p w:rsidR="005C10C0" w:rsidRPr="00D066E5" w:rsidRDefault="005C10C0" w:rsidP="005C10C0">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w:t>
      </w:r>
      <w:bookmarkStart w:id="0" w:name="_GoBack"/>
      <w:bookmarkEnd w:id="0"/>
      <w:r w:rsidR="00471C1B">
        <w:rPr>
          <w:rFonts w:ascii="Century Gothic" w:hAnsi="Century Gothic" w:cs="Arial"/>
          <w:sz w:val="28"/>
        </w:rPr>
        <w:t xml:space="preserve"> Policy</w:t>
      </w:r>
    </w:p>
    <w:p w:rsidR="005C10C0" w:rsidRPr="00D066E5" w:rsidRDefault="005C10C0" w:rsidP="005C10C0">
      <w:pPr>
        <w:spacing w:before="120" w:after="120" w:line="360" w:lineRule="auto"/>
        <w:rPr>
          <w:rFonts w:ascii="Century Gothic" w:hAnsi="Century Gothic" w:cs="Arial"/>
          <w:b/>
        </w:rPr>
      </w:pPr>
      <w:r>
        <w:rPr>
          <w:rFonts w:ascii="Century Gothic" w:hAnsi="Century Gothic" w:cs="Arial"/>
          <w:b/>
        </w:rPr>
        <w:t>10</w:t>
      </w:r>
      <w:r w:rsidRPr="00D066E5">
        <w:rPr>
          <w:rFonts w:ascii="Century Gothic" w:hAnsi="Century Gothic" w:cs="Arial"/>
          <w:b/>
        </w:rPr>
        <w:t>.0</w:t>
      </w:r>
      <w:r w:rsidR="00471C1B">
        <w:rPr>
          <w:rFonts w:ascii="Century Gothic" w:hAnsi="Century Gothic" w:cs="Arial"/>
          <w:b/>
        </w:rPr>
        <w:t>1</w:t>
      </w:r>
      <w:r w:rsidRPr="00D066E5">
        <w:rPr>
          <w:rFonts w:ascii="Century Gothic" w:hAnsi="Century Gothic" w:cs="Arial"/>
          <w:b/>
        </w:rPr>
        <w:tab/>
      </w:r>
      <w:r>
        <w:rPr>
          <w:rFonts w:ascii="Century Gothic" w:hAnsi="Century Gothic" w:cs="Arial"/>
          <w:b/>
        </w:rPr>
        <w:t>Retention Policy for GDPR – Staff Policy</w:t>
      </w:r>
    </w:p>
    <w:p w:rsidR="00FA68B7" w:rsidRPr="00FA68B7" w:rsidRDefault="00FA68B7" w:rsidP="00FA68B7">
      <w:pPr>
        <w:rPr>
          <w:rFonts w:ascii="Century Gothic" w:hAnsi="Century Gothic" w:cs="Arial"/>
          <w:b/>
          <w:sz w:val="20"/>
          <w:szCs w:val="20"/>
        </w:rPr>
      </w:pPr>
    </w:p>
    <w:p w:rsidR="00FA68B7" w:rsidRPr="00FA68B7" w:rsidRDefault="00FA68B7" w:rsidP="00FA68B7">
      <w:pPr>
        <w:rPr>
          <w:rFonts w:ascii="Century Gothic" w:hAnsi="Century Gothic"/>
          <w:color w:val="000000"/>
          <w:sz w:val="20"/>
          <w:szCs w:val="20"/>
        </w:rPr>
      </w:pPr>
      <w:r w:rsidRPr="00FA68B7">
        <w:rPr>
          <w:rFonts w:ascii="Century Gothic" w:hAnsi="Century Gothic"/>
          <w:color w:val="000000"/>
          <w:sz w:val="20"/>
          <w:szCs w:val="20"/>
        </w:rPr>
        <w:t>From May 25</w:t>
      </w:r>
      <w:r w:rsidRPr="00FA68B7">
        <w:rPr>
          <w:rFonts w:ascii="Century Gothic" w:hAnsi="Century Gothic"/>
          <w:color w:val="000000"/>
          <w:sz w:val="20"/>
          <w:szCs w:val="20"/>
          <w:vertAlign w:val="superscript"/>
        </w:rPr>
        <w:t>th</w:t>
      </w:r>
      <w:r w:rsidRPr="00FA68B7">
        <w:rPr>
          <w:rFonts w:ascii="Century Gothic" w:hAnsi="Century Gothic"/>
          <w:color w:val="000000"/>
          <w:sz w:val="20"/>
          <w:szCs w:val="20"/>
        </w:rPr>
        <w:t xml:space="preserve"> 2018 our setting </w:t>
      </w:r>
      <w:r w:rsidR="007C45E8">
        <w:rPr>
          <w:rFonts w:ascii="Century Gothic" w:hAnsi="Century Gothic"/>
          <w:color w:val="000000"/>
          <w:sz w:val="20"/>
          <w:szCs w:val="20"/>
        </w:rPr>
        <w:t>has</w:t>
      </w:r>
      <w:r w:rsidRPr="00FA68B7">
        <w:rPr>
          <w:rFonts w:ascii="Century Gothic" w:hAnsi="Century Gothic"/>
          <w:color w:val="000000"/>
          <w:sz w:val="20"/>
          <w:szCs w:val="20"/>
        </w:rPr>
        <w:t xml:space="preserve"> adhere</w:t>
      </w:r>
      <w:r w:rsidR="007C45E8">
        <w:rPr>
          <w:rFonts w:ascii="Century Gothic" w:hAnsi="Century Gothic"/>
          <w:color w:val="000000"/>
          <w:sz w:val="20"/>
          <w:szCs w:val="20"/>
        </w:rPr>
        <w:t>d</w:t>
      </w:r>
      <w:r w:rsidRPr="00FA68B7">
        <w:rPr>
          <w:rFonts w:ascii="Century Gothic" w:hAnsi="Century Gothic"/>
          <w:color w:val="000000"/>
          <w:sz w:val="20"/>
          <w:szCs w:val="20"/>
        </w:rPr>
        <w:t xml:space="preserve"> to The General Data Protection Regulation (GDPR). This is an EU directive that all UK businesses are required to follow as law. The UK Government has stated that it will continue to enforce GDPR irrespective of a UK exit from the EU. </w:t>
      </w:r>
    </w:p>
    <w:p w:rsidR="00FA68B7" w:rsidRPr="00FA68B7" w:rsidRDefault="00FA68B7" w:rsidP="00FA68B7">
      <w:pPr>
        <w:rPr>
          <w:rFonts w:ascii="Century Gothic" w:hAnsi="Century Gothic"/>
          <w:color w:val="000000"/>
          <w:sz w:val="20"/>
          <w:szCs w:val="20"/>
        </w:rPr>
      </w:pPr>
    </w:p>
    <w:p w:rsidR="00FA68B7" w:rsidRPr="00FA68B7" w:rsidRDefault="00FA68B7" w:rsidP="00FA68B7">
      <w:pPr>
        <w:rPr>
          <w:rFonts w:ascii="Century Gothic" w:hAnsi="Century Gothic"/>
          <w:sz w:val="20"/>
          <w:szCs w:val="20"/>
        </w:rPr>
      </w:pPr>
      <w:r w:rsidRPr="00FA68B7">
        <w:rPr>
          <w:rFonts w:ascii="Century Gothic" w:hAnsi="Century Gothic"/>
          <w:sz w:val="20"/>
          <w:szCs w:val="20"/>
        </w:rPr>
        <w:t>Our policy is to retain data in accordance with the laws of GDPR and in accordance with the EYFS 2017. We will not retain any data that is not relevant or does not hold a legal or justified basis to do so. However, there is some data that we are legally required to keep for a specified time limit long after your child leaves.</w:t>
      </w:r>
    </w:p>
    <w:p w:rsidR="00FA68B7" w:rsidRPr="00FA68B7" w:rsidRDefault="00FA68B7" w:rsidP="00FA68B7">
      <w:pPr>
        <w:rPr>
          <w:rFonts w:ascii="Century Gothic" w:hAnsi="Century Gothic"/>
          <w:color w:val="000000"/>
          <w:sz w:val="20"/>
          <w:szCs w:val="20"/>
        </w:rPr>
      </w:pPr>
    </w:p>
    <w:p w:rsidR="00FA68B7" w:rsidRPr="00FA68B7" w:rsidRDefault="00FA68B7" w:rsidP="00FA68B7">
      <w:pPr>
        <w:jc w:val="both"/>
        <w:rPr>
          <w:rFonts w:ascii="Century Gothic" w:hAnsi="Century Gothic" w:cs="Arial"/>
          <w:sz w:val="20"/>
          <w:szCs w:val="20"/>
        </w:rPr>
      </w:pPr>
    </w:p>
    <w:p w:rsidR="00FA68B7" w:rsidRPr="00FA68B7" w:rsidRDefault="00FA68B7" w:rsidP="00FA68B7">
      <w:pPr>
        <w:jc w:val="both"/>
        <w:rPr>
          <w:rFonts w:ascii="Century Gothic" w:hAnsi="Century Gothic" w:cs="Arial"/>
          <w:b/>
          <w:sz w:val="20"/>
          <w:szCs w:val="20"/>
          <w:u w:val="single"/>
        </w:rPr>
      </w:pPr>
      <w:r w:rsidRPr="00FA68B7">
        <w:rPr>
          <w:rFonts w:ascii="Century Gothic" w:hAnsi="Century Gothic" w:cs="Arial"/>
          <w:b/>
          <w:sz w:val="20"/>
          <w:szCs w:val="20"/>
          <w:u w:val="single"/>
        </w:rPr>
        <w:t>Procedures</w:t>
      </w:r>
    </w:p>
    <w:p w:rsidR="00FA68B7" w:rsidRPr="00FA68B7" w:rsidRDefault="00FA68B7" w:rsidP="00FA68B7">
      <w:pPr>
        <w:jc w:val="both"/>
        <w:rPr>
          <w:rFonts w:ascii="Century Gothic" w:hAnsi="Century Gothic" w:cs="Arial"/>
          <w:b/>
          <w:sz w:val="20"/>
          <w:szCs w:val="20"/>
        </w:rPr>
      </w:pPr>
    </w:p>
    <w:p w:rsidR="00FA68B7" w:rsidRPr="00FA68B7" w:rsidRDefault="00FA68B7" w:rsidP="00FA68B7">
      <w:pPr>
        <w:jc w:val="both"/>
        <w:rPr>
          <w:rFonts w:ascii="Century Gothic" w:hAnsi="Century Gothic"/>
          <w:sz w:val="20"/>
          <w:szCs w:val="20"/>
        </w:rPr>
      </w:pPr>
      <w:r w:rsidRPr="00FA68B7">
        <w:rPr>
          <w:rFonts w:ascii="Century Gothic" w:hAnsi="Century Gothic"/>
          <w:sz w:val="20"/>
          <w:szCs w:val="20"/>
        </w:rPr>
        <w:t>The table below lists some of the documents that we currently collect from you and how we erase or retain the data and for how long. Under GDPR you have the right to ask us about any information that is held about you.</w:t>
      </w:r>
    </w:p>
    <w:p w:rsidR="00FA68B7" w:rsidRPr="00FA68B7" w:rsidRDefault="00FA68B7" w:rsidP="00FA68B7">
      <w:pPr>
        <w:jc w:val="both"/>
        <w:rPr>
          <w:rFonts w:ascii="Century Gothic" w:hAnsi="Century Gothic"/>
          <w:sz w:val="20"/>
          <w:szCs w:val="20"/>
        </w:rPr>
      </w:pPr>
    </w:p>
    <w:p w:rsidR="00FA68B7" w:rsidRPr="00FA68B7" w:rsidRDefault="00FA68B7" w:rsidP="00FA68B7">
      <w:pPr>
        <w:rPr>
          <w:rFonts w:ascii="Century Gothic" w:hAnsi="Century Gothic"/>
          <w:sz w:val="20"/>
          <w:szCs w:val="20"/>
        </w:rPr>
      </w:pPr>
      <w:r w:rsidRPr="00FA68B7">
        <w:rPr>
          <w:rFonts w:ascii="Century Gothic" w:hAnsi="Century Gothic"/>
          <w:sz w:val="20"/>
          <w:szCs w:val="20"/>
        </w:rPr>
        <w:t xml:space="preserve">You are also able to ask for us to delete and erase records about yourself as under GDPR everyone has the right to erasure. There are some exceptions where this is not possible, for example, situations relating to safeguarding which doesn’t allow us to erase such data. Our setting will make decisions on erasure on a case by case basis and will seek appropriate legal if required. </w:t>
      </w:r>
    </w:p>
    <w:p w:rsidR="00FA68B7" w:rsidRPr="00FA68B7" w:rsidRDefault="00FA68B7" w:rsidP="00FA68B7">
      <w:pPr>
        <w:rPr>
          <w:rFonts w:ascii="Century Gothic" w:hAnsi="Century Gothic"/>
          <w:sz w:val="20"/>
          <w:szCs w:val="20"/>
        </w:rPr>
      </w:pPr>
    </w:p>
    <w:p w:rsidR="00FA68B7" w:rsidRPr="00FA68B7" w:rsidRDefault="00FA68B7" w:rsidP="00FA68B7">
      <w:pPr>
        <w:rPr>
          <w:rFonts w:ascii="Century Gothic" w:hAnsi="Century Gothic"/>
          <w:sz w:val="20"/>
          <w:szCs w:val="20"/>
        </w:rPr>
      </w:pPr>
      <w:r w:rsidRPr="00FA68B7">
        <w:rPr>
          <w:rFonts w:ascii="Century Gothic" w:hAnsi="Century Gothic"/>
          <w:sz w:val="20"/>
          <w:szCs w:val="20"/>
        </w:rPr>
        <w:t xml:space="preserve">If in the future our setting closes, we are still required by law to keep certain data in accordance with GDPR. We will ensure that all information is securely protected if stored online. Paper documentation will be kept securely in a locked cabinet for the period of retention. </w:t>
      </w:r>
    </w:p>
    <w:p w:rsidR="00FA68B7" w:rsidRPr="00FA68B7" w:rsidRDefault="00FA68B7" w:rsidP="00FA68B7">
      <w:pPr>
        <w:rPr>
          <w:rFonts w:ascii="Century Gothic" w:hAnsi="Century Gothic"/>
          <w:sz w:val="20"/>
          <w:szCs w:val="20"/>
        </w:rPr>
      </w:pPr>
    </w:p>
    <w:p w:rsidR="00FA68B7" w:rsidRPr="00FA68B7" w:rsidRDefault="00FA68B7" w:rsidP="00FA68B7">
      <w:pPr>
        <w:rPr>
          <w:rFonts w:ascii="Century Gothic" w:hAnsi="Century Gothic"/>
          <w:sz w:val="20"/>
          <w:szCs w:val="20"/>
        </w:rPr>
      </w:pPr>
      <w:r w:rsidRPr="00FA68B7">
        <w:rPr>
          <w:rFonts w:ascii="Century Gothic" w:hAnsi="Century Gothic"/>
          <w:sz w:val="20"/>
          <w:szCs w:val="20"/>
        </w:rPr>
        <w:t>STAFF: Retention for Staff Records</w:t>
      </w:r>
    </w:p>
    <w:p w:rsidR="00FA68B7" w:rsidRPr="00FA68B7" w:rsidRDefault="00FA68B7" w:rsidP="00FA68B7">
      <w:pPr>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2614"/>
        <w:gridCol w:w="2614"/>
        <w:gridCol w:w="2614"/>
      </w:tblGrid>
      <w:tr w:rsidR="00FA68B7" w:rsidRPr="00FA68B7" w:rsidTr="003405EF">
        <w:tc>
          <w:tcPr>
            <w:tcW w:w="2614" w:type="dxa"/>
            <w:tcBorders>
              <w:bottom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Name of Data Collected</w:t>
            </w:r>
          </w:p>
        </w:tc>
        <w:tc>
          <w:tcPr>
            <w:tcW w:w="2614" w:type="dxa"/>
            <w:tcBorders>
              <w:bottom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Legal basis for keeping the records</w:t>
            </w:r>
          </w:p>
        </w:tc>
        <w:tc>
          <w:tcPr>
            <w:tcW w:w="2614" w:type="dxa"/>
            <w:tcBorders>
              <w:bottom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Retention Period</w:t>
            </w:r>
          </w:p>
        </w:tc>
        <w:tc>
          <w:tcPr>
            <w:tcW w:w="2614" w:type="dxa"/>
            <w:tcBorders>
              <w:bottom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After Retention period</w:t>
            </w:r>
          </w:p>
        </w:tc>
      </w:tr>
      <w:tr w:rsidR="00FA68B7" w:rsidRPr="00FA68B7" w:rsidTr="003405EF">
        <w:tc>
          <w:tcPr>
            <w:tcW w:w="2614" w:type="dxa"/>
            <w:tcBorders>
              <w:top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Staff Application forms including those of whom were not successful in securing a job at the setting</w:t>
            </w: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p>
        </w:tc>
        <w:tc>
          <w:tcPr>
            <w:tcW w:w="2614" w:type="dxa"/>
            <w:tcBorders>
              <w:top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Limitation Act 1980</w:t>
            </w:r>
          </w:p>
          <w:p w:rsidR="00FA68B7" w:rsidRPr="00FA68B7" w:rsidRDefault="00FA68B7" w:rsidP="003405EF">
            <w:pPr>
              <w:rPr>
                <w:rFonts w:ascii="Century Gothic" w:hAnsi="Century Gothic"/>
                <w:sz w:val="20"/>
                <w:szCs w:val="20"/>
              </w:rPr>
            </w:pPr>
            <w:r w:rsidRPr="00FA68B7">
              <w:rPr>
                <w:rFonts w:ascii="Century Gothic" w:hAnsi="Century Gothic"/>
                <w:sz w:val="20"/>
                <w:szCs w:val="20"/>
              </w:rPr>
              <w:t>Legal obligation</w:t>
            </w:r>
          </w:p>
          <w:p w:rsidR="00FA68B7" w:rsidRPr="00FA68B7" w:rsidRDefault="00FA68B7" w:rsidP="003405EF">
            <w:pPr>
              <w:rPr>
                <w:rFonts w:ascii="Century Gothic" w:hAnsi="Century Gothic"/>
                <w:sz w:val="20"/>
                <w:szCs w:val="20"/>
              </w:rPr>
            </w:pPr>
            <w:r w:rsidRPr="00FA68B7">
              <w:rPr>
                <w:rFonts w:ascii="Century Gothic" w:hAnsi="Century Gothic"/>
                <w:sz w:val="20"/>
                <w:szCs w:val="20"/>
              </w:rPr>
              <w:t>Legitimate interest</w:t>
            </w:r>
          </w:p>
        </w:tc>
        <w:tc>
          <w:tcPr>
            <w:tcW w:w="2614" w:type="dxa"/>
            <w:tcBorders>
              <w:top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6 months and no longer than 1 year</w:t>
            </w:r>
          </w:p>
        </w:tc>
        <w:tc>
          <w:tcPr>
            <w:tcW w:w="2614" w:type="dxa"/>
            <w:tcBorders>
              <w:top w:val="nil"/>
            </w:tcBorders>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 xml:space="preserve">Data collected on the computer or any technological </w:t>
            </w:r>
            <w:proofErr w:type="gramStart"/>
            <w:r w:rsidRPr="00FA68B7">
              <w:rPr>
                <w:rFonts w:ascii="Century Gothic" w:hAnsi="Century Gothic"/>
                <w:sz w:val="20"/>
                <w:szCs w:val="20"/>
              </w:rPr>
              <w:t>device  will</w:t>
            </w:r>
            <w:proofErr w:type="gramEnd"/>
            <w:r w:rsidRPr="00FA68B7">
              <w:rPr>
                <w:rFonts w:ascii="Century Gothic" w:hAnsi="Century Gothic"/>
                <w:sz w:val="20"/>
                <w:szCs w:val="20"/>
              </w:rPr>
              <w:t xml:space="preserve"> be erased completely from the system.</w:t>
            </w: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r w:rsidRPr="00FA68B7">
              <w:rPr>
                <w:rFonts w:ascii="Century Gothic" w:hAnsi="Century Gothic"/>
                <w:sz w:val="20"/>
                <w:szCs w:val="20"/>
              </w:rPr>
              <w:t>Data which is in paper format will be shredded</w:t>
            </w:r>
          </w:p>
        </w:tc>
      </w:tr>
      <w:tr w:rsidR="00FA68B7" w:rsidRPr="00FA68B7" w:rsidTr="003405EF">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Staff personal Files including all personal data relating to name, address, telephone details, appraisals and such like</w:t>
            </w:r>
          </w:p>
        </w:tc>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Limitation Act</w:t>
            </w:r>
          </w:p>
          <w:p w:rsidR="00FA68B7" w:rsidRPr="00FA68B7" w:rsidRDefault="00FA68B7" w:rsidP="003405EF">
            <w:pPr>
              <w:rPr>
                <w:rFonts w:ascii="Century Gothic" w:hAnsi="Century Gothic"/>
                <w:sz w:val="20"/>
                <w:szCs w:val="20"/>
              </w:rPr>
            </w:pPr>
            <w:r w:rsidRPr="00FA68B7">
              <w:rPr>
                <w:rFonts w:ascii="Century Gothic" w:hAnsi="Century Gothic"/>
                <w:sz w:val="20"/>
                <w:szCs w:val="20"/>
              </w:rPr>
              <w:t>Legal Obligation</w:t>
            </w:r>
          </w:p>
          <w:p w:rsidR="00FA68B7" w:rsidRPr="00FA68B7" w:rsidRDefault="00FA68B7" w:rsidP="003405EF">
            <w:pPr>
              <w:rPr>
                <w:rFonts w:ascii="Century Gothic" w:hAnsi="Century Gothic"/>
                <w:sz w:val="20"/>
                <w:szCs w:val="20"/>
              </w:rPr>
            </w:pPr>
            <w:r w:rsidRPr="00FA68B7">
              <w:rPr>
                <w:rFonts w:ascii="Century Gothic" w:hAnsi="Century Gothic"/>
                <w:sz w:val="20"/>
                <w:szCs w:val="20"/>
              </w:rPr>
              <w:t>Legitimate Interest</w:t>
            </w:r>
          </w:p>
        </w:tc>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 xml:space="preserve">6 years after the termination of employment </w:t>
            </w:r>
          </w:p>
        </w:tc>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 xml:space="preserve">Data collected on the computer or any technological </w:t>
            </w:r>
            <w:proofErr w:type="gramStart"/>
            <w:r w:rsidRPr="00FA68B7">
              <w:rPr>
                <w:rFonts w:ascii="Century Gothic" w:hAnsi="Century Gothic"/>
                <w:sz w:val="20"/>
                <w:szCs w:val="20"/>
              </w:rPr>
              <w:t>device  will</w:t>
            </w:r>
            <w:proofErr w:type="gramEnd"/>
            <w:r w:rsidRPr="00FA68B7">
              <w:rPr>
                <w:rFonts w:ascii="Century Gothic" w:hAnsi="Century Gothic"/>
                <w:sz w:val="20"/>
                <w:szCs w:val="20"/>
              </w:rPr>
              <w:t xml:space="preserve"> be erased completely from the system.</w:t>
            </w: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r w:rsidRPr="00FA68B7">
              <w:rPr>
                <w:rFonts w:ascii="Century Gothic" w:hAnsi="Century Gothic"/>
                <w:sz w:val="20"/>
                <w:szCs w:val="20"/>
              </w:rPr>
              <w:t>Data which is in paper format will be shredded</w:t>
            </w: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p>
          <w:p w:rsidR="00FA68B7" w:rsidRPr="00FA68B7" w:rsidRDefault="00FA68B7" w:rsidP="003405EF">
            <w:pPr>
              <w:rPr>
                <w:rFonts w:ascii="Century Gothic" w:hAnsi="Century Gothic"/>
                <w:sz w:val="20"/>
                <w:szCs w:val="20"/>
              </w:rPr>
            </w:pPr>
          </w:p>
        </w:tc>
      </w:tr>
      <w:tr w:rsidR="00FA68B7" w:rsidRPr="00FA68B7" w:rsidTr="003405EF">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lastRenderedPageBreak/>
              <w:t>Financial information including tax codes, wage and salary information, payroll and pensions</w:t>
            </w:r>
          </w:p>
        </w:tc>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Limitation Act</w:t>
            </w:r>
          </w:p>
          <w:p w:rsidR="00FA68B7" w:rsidRPr="00FA68B7" w:rsidRDefault="00FA68B7" w:rsidP="003405EF">
            <w:pPr>
              <w:rPr>
                <w:rFonts w:ascii="Century Gothic" w:hAnsi="Century Gothic"/>
                <w:sz w:val="20"/>
                <w:szCs w:val="20"/>
              </w:rPr>
            </w:pPr>
            <w:r w:rsidRPr="00FA68B7">
              <w:rPr>
                <w:rFonts w:ascii="Century Gothic" w:hAnsi="Century Gothic"/>
                <w:sz w:val="20"/>
                <w:szCs w:val="20"/>
              </w:rPr>
              <w:t>Legal Obligation</w:t>
            </w:r>
          </w:p>
          <w:p w:rsidR="00FA68B7" w:rsidRPr="00FA68B7" w:rsidRDefault="00FA68B7" w:rsidP="003405EF">
            <w:pPr>
              <w:rPr>
                <w:rFonts w:ascii="Century Gothic" w:hAnsi="Century Gothic"/>
                <w:sz w:val="20"/>
                <w:szCs w:val="20"/>
              </w:rPr>
            </w:pPr>
            <w:r w:rsidRPr="00FA68B7">
              <w:rPr>
                <w:rFonts w:ascii="Century Gothic" w:hAnsi="Century Gothic"/>
                <w:sz w:val="20"/>
                <w:szCs w:val="20"/>
              </w:rPr>
              <w:t>Legitimate Interest</w:t>
            </w:r>
          </w:p>
        </w:tc>
        <w:tc>
          <w:tcPr>
            <w:tcW w:w="2614" w:type="dxa"/>
            <w:shd w:val="clear" w:color="auto" w:fill="auto"/>
          </w:tcPr>
          <w:p w:rsidR="00FA68B7" w:rsidRPr="00FA68B7" w:rsidRDefault="00FA68B7" w:rsidP="003405EF">
            <w:pPr>
              <w:rPr>
                <w:rFonts w:ascii="Century Gothic" w:hAnsi="Century Gothic"/>
                <w:sz w:val="20"/>
                <w:szCs w:val="20"/>
              </w:rPr>
            </w:pPr>
            <w:r w:rsidRPr="00FA68B7">
              <w:rPr>
                <w:rFonts w:ascii="Century Gothic" w:hAnsi="Century Gothic"/>
                <w:sz w:val="20"/>
                <w:szCs w:val="20"/>
              </w:rPr>
              <w:t>It is essential that our setting can demonstrate to HMRC that we have reported accurately. We are required to keep this information for 3 years after the end of the tax year that they pertain to.</w:t>
            </w:r>
          </w:p>
        </w:tc>
        <w:tc>
          <w:tcPr>
            <w:tcW w:w="2614" w:type="dxa"/>
            <w:shd w:val="clear" w:color="auto" w:fill="auto"/>
          </w:tcPr>
          <w:p w:rsidR="00FA68B7" w:rsidRPr="00FA68B7" w:rsidRDefault="00FA68B7" w:rsidP="003405EF">
            <w:pPr>
              <w:rPr>
                <w:rFonts w:ascii="Century Gothic" w:hAnsi="Century Gothic"/>
                <w:sz w:val="20"/>
                <w:szCs w:val="20"/>
              </w:rPr>
            </w:pPr>
          </w:p>
        </w:tc>
      </w:tr>
    </w:tbl>
    <w:p w:rsidR="00FA68B7" w:rsidRPr="00FA68B7" w:rsidRDefault="00FA68B7" w:rsidP="00FA68B7">
      <w:pPr>
        <w:rPr>
          <w:rFonts w:ascii="Century Gothic" w:hAnsi="Century Gothic"/>
          <w:sz w:val="20"/>
          <w:szCs w:val="20"/>
        </w:rPr>
      </w:pPr>
    </w:p>
    <w:p w:rsidR="00FA68B7" w:rsidRPr="00FA68B7" w:rsidRDefault="00FA68B7" w:rsidP="00FA68B7">
      <w:pPr>
        <w:ind w:left="2127" w:hanging="2127"/>
        <w:jc w:val="both"/>
        <w:rPr>
          <w:rFonts w:ascii="Century Gothic" w:hAnsi="Century Gothic" w:cs="Arial"/>
          <w:b/>
          <w:sz w:val="20"/>
          <w:szCs w:val="20"/>
          <w:u w:val="single"/>
        </w:rPr>
      </w:pPr>
      <w:r w:rsidRPr="00FA68B7">
        <w:rPr>
          <w:rFonts w:ascii="Century Gothic" w:hAnsi="Century Gothic" w:cs="Arial"/>
          <w:b/>
          <w:sz w:val="20"/>
          <w:szCs w:val="20"/>
          <w:u w:val="single"/>
        </w:rPr>
        <w:t>Legal Framework</w:t>
      </w:r>
    </w:p>
    <w:p w:rsidR="00FA68B7" w:rsidRPr="00FA68B7" w:rsidRDefault="00FA68B7" w:rsidP="00FA68B7">
      <w:pPr>
        <w:ind w:left="2127" w:hanging="2127"/>
        <w:jc w:val="both"/>
        <w:rPr>
          <w:rFonts w:ascii="Century Gothic" w:hAnsi="Century Gothic" w:cs="Arial"/>
          <w:b/>
          <w:sz w:val="20"/>
          <w:szCs w:val="20"/>
        </w:rPr>
      </w:pPr>
    </w:p>
    <w:p w:rsidR="00FA68B7" w:rsidRPr="00FA68B7" w:rsidRDefault="00FA68B7" w:rsidP="00FA68B7">
      <w:pPr>
        <w:pStyle w:val="ListParagraph"/>
        <w:numPr>
          <w:ilvl w:val="0"/>
          <w:numId w:val="16"/>
        </w:numPr>
        <w:jc w:val="both"/>
        <w:rPr>
          <w:rFonts w:ascii="Century Gothic" w:hAnsi="Century Gothic" w:cs="Arial"/>
          <w:sz w:val="20"/>
          <w:szCs w:val="20"/>
        </w:rPr>
      </w:pPr>
      <w:r w:rsidRPr="00FA68B7">
        <w:rPr>
          <w:rFonts w:ascii="Century Gothic" w:hAnsi="Century Gothic" w:cs="Arial"/>
          <w:sz w:val="20"/>
          <w:szCs w:val="20"/>
        </w:rPr>
        <w:t>General Data Protection Regulation (GDPR) (25</w:t>
      </w:r>
      <w:r w:rsidRPr="00FA68B7">
        <w:rPr>
          <w:rFonts w:ascii="Century Gothic" w:hAnsi="Century Gothic" w:cs="Arial"/>
          <w:sz w:val="20"/>
          <w:szCs w:val="20"/>
          <w:vertAlign w:val="superscript"/>
        </w:rPr>
        <w:t>th</w:t>
      </w:r>
      <w:r w:rsidRPr="00FA68B7">
        <w:rPr>
          <w:rFonts w:ascii="Century Gothic" w:hAnsi="Century Gothic" w:cs="Arial"/>
          <w:sz w:val="20"/>
          <w:szCs w:val="20"/>
        </w:rPr>
        <w:t xml:space="preserve"> May 2018)</w:t>
      </w:r>
    </w:p>
    <w:p w:rsidR="00FA68B7" w:rsidRPr="00FA68B7" w:rsidRDefault="00FA68B7" w:rsidP="00FA68B7">
      <w:pPr>
        <w:jc w:val="both"/>
        <w:rPr>
          <w:rFonts w:ascii="Century Gothic" w:hAnsi="Century Gothic" w:cs="Arial"/>
          <w:sz w:val="20"/>
          <w:szCs w:val="20"/>
        </w:rPr>
      </w:pPr>
    </w:p>
    <w:p w:rsidR="00FA68B7" w:rsidRPr="00FA68B7" w:rsidRDefault="00FA68B7" w:rsidP="00FA68B7">
      <w:pPr>
        <w:jc w:val="both"/>
        <w:rPr>
          <w:rFonts w:ascii="Century Gothic" w:hAnsi="Century Gothic" w:cs="Arial"/>
          <w:sz w:val="20"/>
          <w:szCs w:val="20"/>
        </w:rPr>
      </w:pPr>
    </w:p>
    <w:p w:rsidR="00FD5D66" w:rsidRPr="00FA68B7" w:rsidRDefault="00FD5D66" w:rsidP="00FA68B7">
      <w:pPr>
        <w:jc w:val="center"/>
        <w:rPr>
          <w:rFonts w:ascii="Century Gothic" w:hAnsi="Century Gothic"/>
          <w:sz w:val="20"/>
          <w:szCs w:val="20"/>
        </w:rPr>
      </w:pPr>
    </w:p>
    <w:sectPr w:rsidR="00FD5D66" w:rsidRPr="00FA68B7"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48" w:rsidRDefault="00DF6948" w:rsidP="00966CA8">
      <w:r>
        <w:separator/>
      </w:r>
    </w:p>
  </w:endnote>
  <w:endnote w:type="continuationSeparator" w:id="0">
    <w:p w:rsidR="00DF6948" w:rsidRDefault="00DF6948"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48" w:rsidRDefault="00DF6948" w:rsidP="00966CA8">
      <w:r>
        <w:separator/>
      </w:r>
    </w:p>
  </w:footnote>
  <w:footnote w:type="continuationSeparator" w:id="0">
    <w:p w:rsidR="00DF6948" w:rsidRDefault="00DF6948"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7C45E8" w:rsidP="00966CA8">
    <w:pPr>
      <w:pStyle w:val="Header"/>
      <w:jc w:val="center"/>
    </w:pPr>
    <w:r>
      <w:rPr>
        <w:noProof/>
        <w:lang w:eastAsia="en-GB"/>
      </w:rPr>
      <w:drawing>
        <wp:inline distT="0" distB="0" distL="0" distR="0" wp14:anchorId="76FC8E0D" wp14:editId="7B247869">
          <wp:extent cx="1193800" cy="11239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078"/>
    <w:multiLevelType w:val="hybridMultilevel"/>
    <w:tmpl w:val="8F4826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91CB6"/>
    <w:multiLevelType w:val="hybridMultilevel"/>
    <w:tmpl w:val="2ED88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D5839"/>
    <w:multiLevelType w:val="hybridMultilevel"/>
    <w:tmpl w:val="96D881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10908"/>
    <w:multiLevelType w:val="hybridMultilevel"/>
    <w:tmpl w:val="2BAA9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27"/>
  </w:num>
  <w:num w:numId="4">
    <w:abstractNumId w:val="17"/>
  </w:num>
  <w:num w:numId="5">
    <w:abstractNumId w:val="6"/>
  </w:num>
  <w:num w:numId="6">
    <w:abstractNumId w:val="18"/>
  </w:num>
  <w:num w:numId="7">
    <w:abstractNumId w:val="23"/>
  </w:num>
  <w:num w:numId="8">
    <w:abstractNumId w:val="16"/>
  </w:num>
  <w:num w:numId="9">
    <w:abstractNumId w:val="13"/>
  </w:num>
  <w:num w:numId="10">
    <w:abstractNumId w:val="8"/>
  </w:num>
  <w:num w:numId="11">
    <w:abstractNumId w:val="28"/>
  </w:num>
  <w:num w:numId="12">
    <w:abstractNumId w:val="14"/>
  </w:num>
  <w:num w:numId="13">
    <w:abstractNumId w:val="26"/>
  </w:num>
  <w:num w:numId="14">
    <w:abstractNumId w:val="24"/>
  </w:num>
  <w:num w:numId="15">
    <w:abstractNumId w:val="10"/>
  </w:num>
  <w:num w:numId="16">
    <w:abstractNumId w:val="3"/>
  </w:num>
  <w:num w:numId="17">
    <w:abstractNumId w:val="5"/>
  </w:num>
  <w:num w:numId="18">
    <w:abstractNumId w:val="7"/>
  </w:num>
  <w:num w:numId="19">
    <w:abstractNumId w:val="19"/>
  </w:num>
  <w:num w:numId="20">
    <w:abstractNumId w:val="12"/>
  </w:num>
  <w:num w:numId="21">
    <w:abstractNumId w:val="21"/>
  </w:num>
  <w:num w:numId="22">
    <w:abstractNumId w:val="11"/>
  </w:num>
  <w:num w:numId="23">
    <w:abstractNumId w:val="2"/>
  </w:num>
  <w:num w:numId="24">
    <w:abstractNumId w:val="20"/>
  </w:num>
  <w:num w:numId="25">
    <w:abstractNumId w:val="25"/>
  </w:num>
  <w:num w:numId="26">
    <w:abstractNumId w:val="1"/>
  </w:num>
  <w:num w:numId="27">
    <w:abstractNumId w:val="0"/>
  </w:num>
  <w:num w:numId="28">
    <w:abstractNumId w:val="22"/>
  </w:num>
  <w:num w:numId="29">
    <w:abstractNumId w:val="15"/>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C2DCE"/>
    <w:rsid w:val="001D3D83"/>
    <w:rsid w:val="00200EAB"/>
    <w:rsid w:val="002519F4"/>
    <w:rsid w:val="002800FB"/>
    <w:rsid w:val="00297443"/>
    <w:rsid w:val="002B17E9"/>
    <w:rsid w:val="002B5AB4"/>
    <w:rsid w:val="002C76FC"/>
    <w:rsid w:val="00312A2D"/>
    <w:rsid w:val="0034437D"/>
    <w:rsid w:val="0035075B"/>
    <w:rsid w:val="0036062C"/>
    <w:rsid w:val="00376A99"/>
    <w:rsid w:val="00385F11"/>
    <w:rsid w:val="00392D36"/>
    <w:rsid w:val="003B1D9F"/>
    <w:rsid w:val="003D4459"/>
    <w:rsid w:val="00423CEB"/>
    <w:rsid w:val="00431FB7"/>
    <w:rsid w:val="00471C1B"/>
    <w:rsid w:val="00495ADA"/>
    <w:rsid w:val="004A1BEF"/>
    <w:rsid w:val="004E249B"/>
    <w:rsid w:val="00572D5A"/>
    <w:rsid w:val="0058428E"/>
    <w:rsid w:val="005C10C0"/>
    <w:rsid w:val="006112FF"/>
    <w:rsid w:val="00681E52"/>
    <w:rsid w:val="006B7A10"/>
    <w:rsid w:val="006F5560"/>
    <w:rsid w:val="007159E4"/>
    <w:rsid w:val="00796C55"/>
    <w:rsid w:val="007A768D"/>
    <w:rsid w:val="007C45E8"/>
    <w:rsid w:val="007F7A76"/>
    <w:rsid w:val="008031AD"/>
    <w:rsid w:val="008253F1"/>
    <w:rsid w:val="008704F4"/>
    <w:rsid w:val="008925D2"/>
    <w:rsid w:val="00897C43"/>
    <w:rsid w:val="008B3134"/>
    <w:rsid w:val="008C0D1B"/>
    <w:rsid w:val="008C7DE3"/>
    <w:rsid w:val="008D4277"/>
    <w:rsid w:val="008E226E"/>
    <w:rsid w:val="009057EF"/>
    <w:rsid w:val="00954F5E"/>
    <w:rsid w:val="00966CA8"/>
    <w:rsid w:val="00982B9A"/>
    <w:rsid w:val="009A34EE"/>
    <w:rsid w:val="009B2879"/>
    <w:rsid w:val="009E1CA8"/>
    <w:rsid w:val="009E4571"/>
    <w:rsid w:val="009F5D02"/>
    <w:rsid w:val="00A2321F"/>
    <w:rsid w:val="00A53086"/>
    <w:rsid w:val="00A84EFB"/>
    <w:rsid w:val="00A90511"/>
    <w:rsid w:val="00AB7FD4"/>
    <w:rsid w:val="00B7287A"/>
    <w:rsid w:val="00B9140E"/>
    <w:rsid w:val="00B97CBA"/>
    <w:rsid w:val="00BC50C3"/>
    <w:rsid w:val="00C04E04"/>
    <w:rsid w:val="00C06225"/>
    <w:rsid w:val="00C14652"/>
    <w:rsid w:val="00D65648"/>
    <w:rsid w:val="00DA0ED8"/>
    <w:rsid w:val="00DA60F4"/>
    <w:rsid w:val="00DC4A21"/>
    <w:rsid w:val="00DF6948"/>
    <w:rsid w:val="00E51A0C"/>
    <w:rsid w:val="00E7288B"/>
    <w:rsid w:val="00F26BCD"/>
    <w:rsid w:val="00F41361"/>
    <w:rsid w:val="00F50367"/>
    <w:rsid w:val="00F84D3A"/>
    <w:rsid w:val="00FA29D8"/>
    <w:rsid w:val="00FA68B7"/>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2023-06-30T12:33:00Z</dcterms:created>
  <dcterms:modified xsi:type="dcterms:W3CDTF">2023-08-15T15:31:00Z</dcterms:modified>
</cp:coreProperties>
</file>